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lastRenderedPageBreak/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lastRenderedPageBreak/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</w:t>
            </w:r>
            <w:proofErr w:type="gramStart"/>
            <w:r w:rsidRPr="00E00A1C">
              <w:t>Душанбе  2007</w:t>
            </w:r>
            <w:proofErr w:type="gramEnd"/>
            <w:r w:rsidRPr="00E00A1C">
              <w:t xml:space="preserve">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proofErr w:type="gram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  <w:proofErr w:type="gram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</w:t>
            </w:r>
            <w:r w:rsidR="00372087" w:rsidRPr="00E00A1C">
              <w:t>(</w:t>
            </w:r>
            <w:proofErr w:type="gramEnd"/>
            <w:r w:rsidR="00372087" w:rsidRPr="00E00A1C">
              <w:t>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Б.Н.(</w:t>
            </w:r>
            <w:proofErr w:type="gramEnd"/>
            <w:r w:rsidRPr="00E00A1C">
              <w:t>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742295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</w:t>
            </w:r>
            <w:proofErr w:type="gramStart"/>
            <w:r w:rsidRPr="00E00A1C">
              <w:t>Душанбе  2014</w:t>
            </w:r>
            <w:proofErr w:type="gramEnd"/>
            <w:r w:rsidRPr="00E00A1C">
              <w:t xml:space="preserve">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- № 4 (236), </w:t>
            </w:r>
            <w:proofErr w:type="gramStart"/>
            <w:r w:rsidRPr="00E00A1C">
              <w:t>Душанбе  2014</w:t>
            </w:r>
            <w:proofErr w:type="gramEnd"/>
            <w:r w:rsidRPr="00E00A1C">
              <w:t>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E00A1C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E00A1C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E00A1C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E00A1C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E00A1C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E00A1C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E00A1C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E00A1C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E00A1C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E00A1C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E00A1C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E00A1C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E00A1C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E00A1C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E00A1C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E00A1C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E00A1C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E00A1C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E00A1C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E00A1C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E00A1C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E00A1C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E00A1C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E00A1C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E00A1C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E00A1C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E00A1C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E00A1C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77777777" w:rsidR="001646CC" w:rsidRPr="00251A1B" w:rsidRDefault="000D12BB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________          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     </w:t>
      </w:r>
      <w:r w:rsidR="007C3B0A" w:rsidRPr="00251A1B">
        <w:rPr>
          <w:rFonts w:ascii="Times New Roman Tj" w:eastAsia="Calibri" w:hAnsi="Times New Roman Tj"/>
          <w:lang w:val="tg-Cyrl-TJ" w:eastAsia="en-US"/>
        </w:rPr>
        <w:t xml:space="preserve">               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   </w:t>
      </w:r>
      <w:r w:rsidR="00FB493F" w:rsidRPr="00251A1B">
        <w:rPr>
          <w:rFonts w:ascii="Times New Roman Tj" w:eastAsia="Calibri" w:hAnsi="Times New Roman Tj"/>
          <w:lang w:val="tg-Cyrl-TJ" w:eastAsia="en-US"/>
        </w:rPr>
        <w:t>Валиева Мастура Набихо</w:t>
      </w:r>
      <w:r w:rsidR="00FB493F" w:rsidRPr="00251A1B">
        <w:rPr>
          <w:rFonts w:eastAsia="Calibri"/>
          <w:lang w:val="tg-Cyrl-TJ" w:eastAsia="en-US"/>
        </w:rPr>
        <w:t>новна</w:t>
      </w:r>
      <w:r w:rsidRPr="00251A1B">
        <w:rPr>
          <w:b/>
          <w:lang w:val="tg-Cyrl-TJ"/>
        </w:rPr>
        <w:t xml:space="preserve"> </w:t>
      </w:r>
    </w:p>
    <w:sectPr w:rsidR="001646CC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9E35" w14:textId="77777777" w:rsidR="00742295" w:rsidRDefault="00742295" w:rsidP="00B96140">
      <w:r>
        <w:separator/>
      </w:r>
    </w:p>
  </w:endnote>
  <w:endnote w:type="continuationSeparator" w:id="0">
    <w:p w14:paraId="786047FF" w14:textId="77777777" w:rsidR="00742295" w:rsidRDefault="00742295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5217" w14:textId="77777777" w:rsidR="00742295" w:rsidRDefault="00742295" w:rsidP="00B96140">
      <w:r>
        <w:separator/>
      </w:r>
    </w:p>
  </w:footnote>
  <w:footnote w:type="continuationSeparator" w:id="0">
    <w:p w14:paraId="46A5F5BA" w14:textId="77777777" w:rsidR="00742295" w:rsidRDefault="00742295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651D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610C"/>
    <w:rsid w:val="00371DF3"/>
    <w:rsid w:val="00372087"/>
    <w:rsid w:val="00375D3C"/>
    <w:rsid w:val="00384068"/>
    <w:rsid w:val="0039249F"/>
    <w:rsid w:val="003A0461"/>
    <w:rsid w:val="003A27A2"/>
    <w:rsid w:val="003B4174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549B1"/>
    <w:rsid w:val="00461E3A"/>
    <w:rsid w:val="00472E36"/>
    <w:rsid w:val="00475281"/>
    <w:rsid w:val="004774CF"/>
    <w:rsid w:val="00494456"/>
    <w:rsid w:val="00496DAC"/>
    <w:rsid w:val="004A6D50"/>
    <w:rsid w:val="004C68D4"/>
    <w:rsid w:val="005059B7"/>
    <w:rsid w:val="00507BF7"/>
    <w:rsid w:val="00511020"/>
    <w:rsid w:val="00517A06"/>
    <w:rsid w:val="005352AA"/>
    <w:rsid w:val="005402C6"/>
    <w:rsid w:val="00543348"/>
    <w:rsid w:val="00550467"/>
    <w:rsid w:val="00567C7F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34687"/>
    <w:rsid w:val="00941460"/>
    <w:rsid w:val="0094185D"/>
    <w:rsid w:val="00951BE4"/>
    <w:rsid w:val="00954678"/>
    <w:rsid w:val="009560C0"/>
    <w:rsid w:val="00964F57"/>
    <w:rsid w:val="00992FD5"/>
    <w:rsid w:val="009B220C"/>
    <w:rsid w:val="009B2C04"/>
    <w:rsid w:val="009C2790"/>
    <w:rsid w:val="009C2EDC"/>
    <w:rsid w:val="009D3FDE"/>
    <w:rsid w:val="009D63C4"/>
    <w:rsid w:val="00A14FF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5E9C"/>
    <w:rsid w:val="00D71AE7"/>
    <w:rsid w:val="00D72035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931EA"/>
    <w:rsid w:val="00E95E13"/>
    <w:rsid w:val="00E97122"/>
    <w:rsid w:val="00EE07C6"/>
    <w:rsid w:val="00F03541"/>
    <w:rsid w:val="00F13868"/>
    <w:rsid w:val="00F22443"/>
    <w:rsid w:val="00F252F0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3</cp:revision>
  <cp:lastPrinted>2024-05-08T04:16:00Z</cp:lastPrinted>
  <dcterms:created xsi:type="dcterms:W3CDTF">2024-09-17T10:08:00Z</dcterms:created>
  <dcterms:modified xsi:type="dcterms:W3CDTF">2024-09-30T02:48:00Z</dcterms:modified>
</cp:coreProperties>
</file>